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ind w:firstLine="0"/>
        <w:jc w:val="center"/>
      </w:pPr>
      <w:r>
        <w:rPr>
          <w:rFonts w:ascii="Times New Roman" w:hAnsi="Times New Roman"/>
          <w:b/>
          <w:sz w:val="32"/>
        </w:rPr>
        <w:t>СПРАВКА</w:t>
      </w:r>
    </w:p>
    <w:p>
      <w:pPr>
        <w:spacing w:after="40"/>
        <w:ind w:firstLine="0"/>
        <w:jc w:val="center"/>
      </w:pPr>
      <w:r>
        <w:rPr>
          <w:rFonts w:ascii="Times New Roman" w:hAnsi="Times New Roman"/>
          <w:b w:val="0"/>
          <w:sz w:val="26"/>
        </w:rPr>
        <w:t>о результатах этапа 0 «Рамка и определения»</w:t>
      </w:r>
    </w:p>
    <w:p>
      <w:pPr>
        <w:spacing w:after="40"/>
        <w:ind w:firstLine="0"/>
        <w:jc w:val="center"/>
      </w:pPr>
      <w:r>
        <w:rPr>
          <w:rFonts w:ascii="Times New Roman" w:hAnsi="Times New Roman"/>
          <w:b w:val="0"/>
          <w:sz w:val="24"/>
        </w:rPr>
        <w:t>Исследование: противодействие школьному буллингу и кибербуллингу</w:t>
      </w:r>
    </w:p>
    <w:p>
      <w:pPr>
        <w:spacing w:after="280"/>
        <w:ind w:firstLine="0"/>
        <w:jc w:val="center"/>
      </w:pPr>
      <w:r>
        <w:rPr>
          <w:rFonts w:ascii="Times New Roman" w:hAnsi="Times New Roman"/>
          <w:b w:val="0"/>
          <w:sz w:val="24"/>
        </w:rPr>
        <w:t>Дата: 13.09.2026 · Версия документа: 2.0 · источники со ссылками</w:t>
      </w:r>
    </w:p>
    <w:p>
      <w:pPr>
        <w:spacing w:after="200"/>
        <w:ind w:firstLine="0"/>
        <w:jc w:val="center"/>
      </w:pPr>
      <w:r>
        <w:rPr>
          <w:rFonts w:ascii="Times New Roman" w:hAnsi="Times New Roman"/>
          <w:b/>
          <w:sz w:val="32"/>
        </w:rPr>
        <w:t>ЭТАП 0. РАМКА И ОПРЕДЕЛЕНИЯ</w:t>
      </w:r>
    </w:p>
    <w:p>
      <w:r>
        <w:rPr>
          <w:rFonts w:ascii="Times New Roman" w:hAnsi="Times New Roman"/>
          <w:b/>
          <w:sz w:val="28"/>
        </w:rPr>
        <w:t>Исследование:</w:t>
      </w:r>
      <w:r>
        <w:rPr>
          <w:rFonts w:ascii="Times New Roman" w:hAnsi="Times New Roman"/>
          <w:b w:val="0"/>
          <w:sz w:val="28"/>
        </w:rPr>
        <w:t xml:space="preserve"> противодействие школьному буллингу и кибербуллингу</w:t>
      </w:r>
    </w:p>
    <w:p>
      <w:r>
        <w:rPr>
          <w:rFonts w:ascii="Times New Roman" w:hAnsi="Times New Roman"/>
          <w:b/>
          <w:sz w:val="28"/>
        </w:rPr>
        <w:t>Версия:</w:t>
      </w:r>
      <w:r>
        <w:rPr>
          <w:rFonts w:ascii="Times New Roman" w:hAnsi="Times New Roman"/>
          <w:b w:val="0"/>
          <w:sz w:val="28"/>
        </w:rPr>
        <w:t xml:space="preserve"> 1.1 (учтены замечания Claude и GPT) · </w:t>
      </w:r>
      <w:r>
        <w:rPr>
          <w:rFonts w:ascii="Times New Roman" w:hAnsi="Times New Roman"/>
          <w:b/>
          <w:sz w:val="28"/>
        </w:rPr>
        <w:t>Дата:</w:t>
      </w:r>
      <w:r>
        <w:rPr>
          <w:rFonts w:ascii="Times New Roman" w:hAnsi="Times New Roman"/>
          <w:b w:val="0"/>
          <w:sz w:val="28"/>
        </w:rPr>
        <w:t xml:space="preserve"> 2026-09-12</w:t>
      </w:r>
    </w:p>
    <w:p>
      <w:r>
        <w:rPr>
          <w:rFonts w:ascii="Times New Roman" w:hAnsi="Times New Roman"/>
          <w:b/>
          <w:sz w:val="28"/>
        </w:rPr>
        <w:t>Назначение.</w:t>
      </w:r>
      <w:r>
        <w:rPr>
          <w:rFonts w:ascii="Times New Roman" w:hAnsi="Times New Roman"/>
          <w:b w:val="0"/>
          <w:sz w:val="28"/>
        </w:rPr>
        <w:t xml:space="preserve"> Этап 0 задаёт правила всей дальнейшей работы: единые определения, границы, вопросы, измерение, стандарт доказательств и этику. Последующие этапы обязаны опираться на термины и критерии, зафиксированные здесь.</w:t>
      </w:r>
    </w:p>
    <w:p>
      <w:r>
        <w:rPr>
          <w:rFonts w:ascii="Times New Roman" w:hAnsi="Times New Roman"/>
          <w:b/>
          <w:sz w:val="28"/>
        </w:rPr>
        <w:t>Статус сведений.</w:t>
      </w:r>
      <w:r>
        <w:rPr>
          <w:rFonts w:ascii="Times New Roman" w:hAnsi="Times New Roman"/>
          <w:b w:val="0"/>
          <w:sz w:val="28"/>
        </w:rPr>
        <w:t xml:space="preserve"> Неподтверждённое помечается `NOT VERIFIED`. Цифры распространённости здесь не утверждаются — только как примеры расхождений и «измерительной ловушки».</w:t>
      </w:r>
    </w:p>
    <w:p>
      <w:pPr>
        <w:spacing w:after="80"/>
        <w:ind w:firstLine="0"/>
      </w:pPr>
      <w:r>
        <w:rPr>
          <w:rFonts w:ascii="Times New Roman" w:hAnsi="Times New Roman"/>
          <w:b/>
          <w:sz w:val="28"/>
        </w:rPr>
        <w:t>1. Определения</w:t>
      </w:r>
    </w:p>
    <w:p>
      <w:pPr>
        <w:spacing w:after="80"/>
        <w:ind w:firstLine="0"/>
      </w:pPr>
      <w:r>
        <w:rPr>
          <w:rFonts w:ascii="Times New Roman" w:hAnsi="Times New Roman"/>
          <w:b/>
          <w:sz w:val="26"/>
        </w:rPr>
        <w:t>1.1. Буллинг (травля)</w:t>
      </w:r>
    </w:p>
    <w:p>
      <w:r>
        <w:rPr>
          <w:rFonts w:ascii="Times New Roman" w:hAnsi="Times New Roman"/>
          <w:b/>
          <w:sz w:val="28"/>
        </w:rPr>
        <w:t>Буллинг (травля)</w:t>
      </w:r>
      <w:r>
        <w:rPr>
          <w:rFonts w:ascii="Times New Roman" w:hAnsi="Times New Roman"/>
          <w:b w:val="0"/>
          <w:sz w:val="28"/>
        </w:rPr>
        <w:t xml:space="preserve"> — повторяющееся во времени агрессивное поведение, при котором один или несколько обучающихся намеренно причиняют (или создают обоснованно вероятную угрозу причинения) вред другому обучающемуся, находящемуся в положении реального или воспринимаемого </w:t>
      </w:r>
      <w:r>
        <w:rPr>
          <w:rFonts w:ascii="Times New Roman" w:hAnsi="Times New Roman"/>
          <w:b/>
          <w:sz w:val="28"/>
        </w:rPr>
        <w:t>неравенства сил (власти)</w:t>
      </w:r>
      <w:r>
        <w:rPr>
          <w:rFonts w:ascii="Times New Roman" w:hAnsi="Times New Roman"/>
          <w:b w:val="0"/>
          <w:sz w:val="28"/>
        </w:rPr>
        <w:t xml:space="preserve"> и которому </w:t>
      </w:r>
      <w:r>
        <w:rPr>
          <w:rFonts w:ascii="Times New Roman" w:hAnsi="Times New Roman"/>
          <w:b/>
          <w:sz w:val="28"/>
        </w:rPr>
        <w:t>трудно защититься</w:t>
      </w:r>
      <w:r>
        <w:rPr>
          <w:rFonts w:ascii="Times New Roman" w:hAnsi="Times New Roman"/>
          <w:b w:val="0"/>
          <w:sz w:val="28"/>
        </w:rPr>
        <w:t xml:space="preserve"> своими силами.</w:t>
      </w:r>
    </w:p>
    <w:p>
      <w:r>
        <w:rPr>
          <w:rFonts w:ascii="Times New Roman" w:hAnsi="Times New Roman"/>
          <w:b w:val="0"/>
          <w:sz w:val="28"/>
        </w:rPr>
        <w:t>Четыре ключевых признака — по классическому определению Д. Ольвеуса (</w:t>
      </w:r>
      <w:hyperlink r:id="rId10">
        <w:r>
          <w:rPr>
            <w:rFonts w:ascii="Times New Roman" w:hAnsi="Times New Roman"/>
            <w:color w:val="0563C1"/>
            <w:u w:val="single"/>
            <w:sz w:val="24"/>
          </w:rPr>
          <w:t xml:space="preserve">Olweus, 1993</w:t>
        </w:r>
      </w:hyperlink>
      <w:r>
        <w:rPr>
          <w:rFonts w:ascii="Times New Roman" w:hAnsi="Times New Roman"/>
          <w:b w:val="0"/>
          <w:sz w:val="28"/>
        </w:rPr>
        <w:t>):</w:t>
      </w:r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1. </w:t>
      </w:r>
      <w:r>
        <w:rPr>
          <w:rFonts w:ascii="Times New Roman" w:hAnsi="Times New Roman"/>
          <w:b/>
          <w:sz w:val="28"/>
        </w:rPr>
        <w:t>Умысел</w:t>
      </w:r>
      <w:r>
        <w:rPr>
          <w:rFonts w:ascii="Times New Roman" w:hAnsi="Times New Roman"/>
          <w:b w:val="0"/>
          <w:sz w:val="28"/>
        </w:rPr>
        <w:t xml:space="preserve"> — вред причиняется или планируется намеренно.</w:t>
      </w:r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2. </w:t>
      </w:r>
      <w:r>
        <w:rPr>
          <w:rFonts w:ascii="Times New Roman" w:hAnsi="Times New Roman"/>
          <w:b/>
          <w:sz w:val="28"/>
        </w:rPr>
        <w:t>Дисбаланс сил (власти)</w:t>
      </w:r>
      <w:r>
        <w:rPr>
          <w:rFonts w:ascii="Times New Roman" w:hAnsi="Times New Roman"/>
          <w:b w:val="0"/>
          <w:sz w:val="28"/>
        </w:rPr>
        <w:t xml:space="preserve"> — физическое, численное, статусное или социальное неравенство.</w:t>
      </w:r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3. </w:t>
      </w:r>
      <w:r>
        <w:rPr>
          <w:rFonts w:ascii="Times New Roman" w:hAnsi="Times New Roman"/>
          <w:b/>
          <w:sz w:val="28"/>
        </w:rPr>
        <w:t>Повторяемость</w:t>
      </w:r>
      <w:r>
        <w:rPr>
          <w:rFonts w:ascii="Times New Roman" w:hAnsi="Times New Roman"/>
          <w:b w:val="0"/>
          <w:sz w:val="28"/>
        </w:rPr>
        <w:t xml:space="preserve"> — поведение повторяется во времени.</w:t>
      </w:r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4. </w:t>
      </w:r>
      <w:r>
        <w:rPr>
          <w:rFonts w:ascii="Times New Roman" w:hAnsi="Times New Roman"/>
          <w:b/>
          <w:sz w:val="28"/>
        </w:rPr>
        <w:t>Вред</w:t>
      </w:r>
      <w:r>
        <w:rPr>
          <w:rFonts w:ascii="Times New Roman" w:hAnsi="Times New Roman"/>
          <w:b w:val="0"/>
          <w:sz w:val="28"/>
        </w:rPr>
        <w:t xml:space="preserve"> — физический, психологический, социальный или учебный; причинён либо обоснованно вероятен.</w:t>
      </w:r>
    </w:p>
    <w:p>
      <w:pPr>
        <w:spacing w:after="80"/>
        <w:ind w:firstLine="0"/>
      </w:pPr>
      <w:r>
        <w:rPr>
          <w:rFonts w:ascii="Times New Roman" w:hAnsi="Times New Roman"/>
          <w:b/>
          <w:i/>
          <w:sz w:val="24"/>
        </w:rPr>
        <w:t>Формулировка «трудно защититься»</w:t>
      </w:r>
      <w:r>
        <w:rPr>
          <w:rFonts w:ascii="Times New Roman" w:hAnsi="Times New Roman"/>
          <w:b w:val="0"/>
          <w:i/>
          <w:sz w:val="24"/>
        </w:rPr>
        <w:t xml:space="preserve"> выбрана осознанно: она описывает неравенство сил, а не «неспособность жертвы» (последнее стигматизирует и не соответствует современным источникам).</w:t>
      </w:r>
    </w:p>
    <w:p>
      <w:pPr>
        <w:spacing w:after="80"/>
        <w:ind w:firstLine="0"/>
      </w:pPr>
      <w:r>
        <w:rPr>
          <w:rFonts w:ascii="Times New Roman" w:hAnsi="Times New Roman"/>
          <w:b/>
          <w:i/>
          <w:sz w:val="24"/>
        </w:rPr>
        <w:t>Рабочее расширение проекта.</w:t>
      </w:r>
      <w:r>
        <w:rPr>
          <w:rFonts w:ascii="Times New Roman" w:hAnsi="Times New Roman"/>
          <w:b w:val="0"/>
          <w:i/>
          <w:sz w:val="24"/>
        </w:rPr>
        <w:t xml:space="preserve"> Единичный, но тяжкий эпизод при доказанном умысле и дисбалансе сил квалифицируется как травля при наличии обоснованного страха повторения. </w:t>
      </w:r>
      <w:r>
        <w:rPr>
          <w:rFonts w:ascii="Times New Roman" w:hAnsi="Times New Roman"/>
          <w:b/>
          <w:i/>
          <w:sz w:val="24"/>
        </w:rPr>
        <w:t>Это рабочее решение проекта, а не положение источника Olweus</w:t>
      </w:r>
      <w:r>
        <w:rPr>
          <w:rFonts w:ascii="Times New Roman" w:hAnsi="Times New Roman"/>
          <w:b w:val="0"/>
          <w:i/>
          <w:sz w:val="24"/>
        </w:rPr>
        <w:t xml:space="preserve"> (у него повторяемость обязательна). Правило фиксируется в протоколе учёта (раздел 5.4).</w:t>
      </w:r>
    </w:p>
    <w:p>
      <w:pPr>
        <w:spacing w:after="80"/>
        <w:ind w:firstLine="0"/>
      </w:pPr>
      <w:r>
        <w:rPr>
          <w:rFonts w:ascii="Times New Roman" w:hAnsi="Times New Roman"/>
          <w:b/>
          <w:sz w:val="26"/>
        </w:rPr>
        <w:t>1.2. Кибербуллинг</w:t>
      </w:r>
    </w:p>
    <w:p>
      <w:r>
        <w:rPr>
          <w:rFonts w:ascii="Times New Roman" w:hAnsi="Times New Roman"/>
          <w:b/>
          <w:sz w:val="28"/>
        </w:rPr>
        <w:t>Кибербуллинг</w:t>
      </w:r>
      <w:r>
        <w:rPr>
          <w:rFonts w:ascii="Times New Roman" w:hAnsi="Times New Roman"/>
          <w:b w:val="0"/>
          <w:sz w:val="28"/>
        </w:rPr>
        <w:t xml:space="preserve"> — буллинг, осуществляемый через электронные средства коммуникации (соцсети, мессенджеры, игровые платформы, публикация контента): намеренное агрессивное воздействие, повторяющееся во времени, направленное на того, кому трудно защититься — по </w:t>
      </w:r>
      <w:hyperlink r:id="rId11">
        <w:r>
          <w:rPr>
            <w:rFonts w:ascii="Times New Roman" w:hAnsi="Times New Roman"/>
            <w:color w:val="0563C1"/>
            <w:u w:val="single"/>
            <w:sz w:val="24"/>
          </w:rPr>
          <w:t xml:space="preserve">Kowalski, Limber, Agatston, 2012</w:t>
        </w:r>
      </w:hyperlink>
      <w:r>
        <w:rPr>
          <w:rFonts w:ascii="Times New Roman" w:hAnsi="Times New Roman"/>
          <w:b w:val="0"/>
          <w:sz w:val="28"/>
        </w:rPr>
        <w:t xml:space="preserve"> *(определения в литературе различаются — единого «канонического» нет)*.</w:t>
      </w:r>
    </w:p>
    <w:p>
      <w:r>
        <w:rPr>
          <w:rFonts w:ascii="Times New Roman" w:hAnsi="Times New Roman"/>
          <w:b/>
          <w:sz w:val="28"/>
        </w:rPr>
        <w:t>Возможные особенности цифровой среды</w:t>
      </w:r>
      <w:r>
        <w:rPr>
          <w:rFonts w:ascii="Times New Roman" w:hAnsi="Times New Roman"/>
          <w:b w:val="0"/>
          <w:sz w:val="28"/>
        </w:rPr>
        <w:t xml:space="preserve"> (не обязательные признаки): анонимность/псевдонимность; эффект растормаживания; круглосуточность; широкая аудитория и вирусность; трудность удаления и сохраняющиеся копии; частое продолжение офлайн-травли.</w:t>
      </w:r>
    </w:p>
    <w:p>
      <w:r>
        <w:rPr>
          <w:rFonts w:ascii="Times New Roman" w:hAnsi="Times New Roman"/>
          <w:b/>
          <w:sz w:val="28"/>
        </w:rPr>
        <w:t>Операционализация связи со школой</w:t>
      </w:r>
      <w:r>
        <w:rPr>
          <w:rFonts w:ascii="Times New Roman" w:hAnsi="Times New Roman"/>
          <w:b w:val="0"/>
          <w:sz w:val="28"/>
        </w:rPr>
        <w:t xml:space="preserve"> (граница проекта): участники — обучающиеся одной школы; наличие влияния на безопасность или учёбу; использование школьных чатов, каналов или отношений. Только такие случаи учитываются.</w:t>
      </w:r>
    </w:p>
    <w:p>
      <w:pPr>
        <w:spacing w:after="80"/>
        <w:ind w:firstLine="0"/>
      </w:pPr>
      <w:r>
        <w:rPr>
          <w:rFonts w:ascii="Times New Roman" w:hAnsi="Times New Roman"/>
          <w:b/>
          <w:sz w:val="26"/>
        </w:rPr>
        <w:t>1.3. Формы травли</w:t>
      </w:r>
    </w:p>
    <w:p>
      <w:r>
        <w:rPr>
          <w:rFonts w:ascii="Times New Roman" w:hAnsi="Times New Roman"/>
          <w:b w:val="0"/>
          <w:sz w:val="28"/>
        </w:rPr>
        <w:t xml:space="preserve">Физическая · вербальная · социальная/реляционная (изоляция, слухи) · цифровая (кибербуллинг) · </w:t>
      </w:r>
      <w:r>
        <w:rPr>
          <w:rFonts w:ascii="Times New Roman" w:hAnsi="Times New Roman"/>
          <w:b/>
          <w:sz w:val="28"/>
        </w:rPr>
        <w:t>сексуализированная</w:t>
      </w:r>
      <w:r>
        <w:rPr>
          <w:rFonts w:ascii="Times New Roman" w:hAnsi="Times New Roman"/>
          <w:b w:val="0"/>
          <w:sz w:val="28"/>
        </w:rPr>
        <w:t xml:space="preserve"> · </w:t>
      </w:r>
      <w:r>
        <w:rPr>
          <w:rFonts w:ascii="Times New Roman" w:hAnsi="Times New Roman"/>
          <w:b/>
          <w:sz w:val="28"/>
        </w:rPr>
        <w:t>дискриминационная (по признаку</w:t>
      </w:r>
      <w:r>
        <w:rPr>
          <w:rFonts w:ascii="Times New Roman" w:hAnsi="Times New Roman"/>
          <w:b w:val="0"/>
          <w:sz w:val="28"/>
        </w:rPr>
        <w:t xml:space="preserve"> — этничность, религия, инвалидность и др.). Последние две </w:t>
      </w:r>
      <w:r>
        <w:rPr>
          <w:rFonts w:ascii="Times New Roman" w:hAnsi="Times New Roman"/>
          <w:b/>
          <w:sz w:val="28"/>
        </w:rPr>
        <w:t>не выводятся</w:t>
      </w:r>
      <w:r>
        <w:rPr>
          <w:rFonts w:ascii="Times New Roman" w:hAnsi="Times New Roman"/>
          <w:b w:val="0"/>
          <w:sz w:val="28"/>
        </w:rPr>
        <w:t xml:space="preserve"> за пределы исследования — они могут одновременно отвечать критериям травли.</w:t>
      </w:r>
    </w:p>
    <w:p>
      <w:pPr>
        <w:spacing w:after="80"/>
        <w:ind w:firstLine="0"/>
      </w:pPr>
      <w:r>
        <w:rPr>
          <w:rFonts w:ascii="Times New Roman" w:hAnsi="Times New Roman"/>
          <w:b/>
          <w:sz w:val="26"/>
        </w:rPr>
        <w:t>1.4. Роли участников</w:t>
      </w:r>
    </w:p>
    <w:p>
      <w:r>
        <w:rPr>
          <w:rFonts w:ascii="Times New Roman" w:hAnsi="Times New Roman"/>
          <w:b w:val="0"/>
          <w:sz w:val="28"/>
        </w:rPr>
        <w:t xml:space="preserve">Инициатор травли · пострадавший · </w:t>
      </w:r>
      <w:r>
        <w:rPr>
          <w:rFonts w:ascii="Times New Roman" w:hAnsi="Times New Roman"/>
          <w:b/>
          <w:sz w:val="28"/>
        </w:rPr>
        <w:t>буллер-жертва</w:t>
      </w:r>
      <w:r>
        <w:rPr>
          <w:rFonts w:ascii="Times New Roman" w:hAnsi="Times New Roman"/>
          <w:b w:val="0"/>
          <w:sz w:val="28"/>
        </w:rPr>
        <w:t xml:space="preserve"> (совмещает роли) · свидетели · </w:t>
      </w:r>
      <w:r>
        <w:rPr>
          <w:rFonts w:ascii="Times New Roman" w:hAnsi="Times New Roman"/>
          <w:b/>
          <w:sz w:val="28"/>
        </w:rPr>
        <w:t>защитники</w:t>
      </w:r>
      <w:r>
        <w:rPr>
          <w:rFonts w:ascii="Times New Roman" w:hAnsi="Times New Roman"/>
          <w:b w:val="0"/>
          <w:sz w:val="28"/>
        </w:rPr>
        <w:t xml:space="preserve"> (вмешиваются или поддерживают пострадавшего) · педагоги и администрация · родители обеих сторон. Роли описывают ситуацию, </w:t>
      </w:r>
      <w:r>
        <w:rPr>
          <w:rFonts w:ascii="Times New Roman" w:hAnsi="Times New Roman"/>
          <w:b/>
          <w:sz w:val="28"/>
        </w:rPr>
        <w:t>а не закрепляют постоянную идентичность ребёнка</w:t>
      </w:r>
      <w:r>
        <w:rPr>
          <w:rFonts w:ascii="Times New Roman" w:hAnsi="Times New Roman"/>
          <w:b w:val="0"/>
          <w:sz w:val="28"/>
        </w:rPr>
        <w:t>.</w:t>
      </w:r>
    </w:p>
    <w:p>
      <w:pPr>
        <w:spacing w:after="80"/>
        <w:ind w:firstLine="0"/>
      </w:pPr>
      <w:r>
        <w:rPr>
          <w:rFonts w:ascii="Times New Roman" w:hAnsi="Times New Roman"/>
          <w:b/>
          <w:sz w:val="26"/>
        </w:rPr>
        <w:t>1.5. Отграничение травли от смежных явлений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118"/>
        <w:gridCol w:w="3118"/>
        <w:gridCol w:w="3118"/>
      </w:tblGrid>
      <w:tr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sz w:val="22"/>
              </w:rPr>
              <w:t>Явление</w:t>
            </w:r>
          </w:p>
        </w:tc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sz w:val="22"/>
              </w:rPr>
              <w:t>Отличие</w:t>
            </w:r>
          </w:p>
        </w:tc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sz w:val="22"/>
              </w:rPr>
              <w:t>Разграничительный признак</w:t>
            </w:r>
          </w:p>
        </w:tc>
      </w:tr>
      <w:tr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Единичный конфликт</w:t>
            </w:r>
          </w:p>
        </w:tc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разовое столкновение, урегулируемо</w:t>
            </w:r>
          </w:p>
        </w:tc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нет дисбаланса сил и повторяемости</w:t>
            </w:r>
          </w:p>
        </w:tc>
      </w:tr>
      <w:tr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Взаимная агрессия</w:t>
            </w:r>
          </w:p>
        </w:tc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симметричность сторон</w:t>
            </w:r>
          </w:p>
        </w:tc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симметричность, нет устойчивой роли пострадавшего</w:t>
            </w:r>
          </w:p>
        </w:tc>
      </w:tr>
      <w:tr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Дисциплинарное нарушение</w:t>
            </w:r>
          </w:p>
        </w:tc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нарушение правил школы</w:t>
            </w:r>
          </w:p>
        </w:tc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 xml:space="preserve">травля может </w:t>
            </w:r>
            <w:r>
              <w:rPr>
                <w:rFonts w:ascii="Times New Roman" w:hAnsi="Times New Roman"/>
                <w:b/>
                <w:sz w:val="22"/>
              </w:rPr>
              <w:t>одновременно</w:t>
            </w:r>
            <w:r>
              <w:rPr>
                <w:rFonts w:ascii="Times New Roman" w:hAnsi="Times New Roman"/>
                <w:b w:val="0"/>
                <w:sz w:val="22"/>
              </w:rPr>
              <w:t xml:space="preserve"> быть дисциплинарным нарушением; различаются не явления, а </w:t>
            </w:r>
            <w:r>
              <w:rPr>
                <w:rFonts w:ascii="Times New Roman" w:hAnsi="Times New Roman"/>
                <w:b/>
                <w:sz w:val="22"/>
              </w:rPr>
              <w:t>квалификации</w:t>
            </w:r>
            <w:r>
              <w:rPr>
                <w:rFonts w:ascii="Times New Roman" w:hAnsi="Times New Roman"/>
                <w:b w:val="0"/>
                <w:sz w:val="22"/>
              </w:rPr>
              <w:t xml:space="preserve"> (педагогическая и дисциплинарная/правовая)</w:t>
            </w:r>
          </w:p>
        </w:tc>
      </w:tr>
      <w:tr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Иные формы насилия</w:t>
            </w:r>
          </w:p>
        </w:tc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правонарушения, ненавистнические проявления, хейзинг</w:t>
            </w:r>
          </w:p>
        </w:tc>
        <w:tc>
          <w:tcPr>
            <w:tcW w:type="dxa" w:w="3118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 xml:space="preserve">возможна </w:t>
            </w:r>
            <w:r>
              <w:rPr>
                <w:rFonts w:ascii="Times New Roman" w:hAnsi="Times New Roman"/>
                <w:b/>
                <w:sz w:val="22"/>
              </w:rPr>
              <w:t>двойная квалификация</w:t>
            </w:r>
            <w:r>
              <w:rPr>
                <w:rFonts w:ascii="Times New Roman" w:hAnsi="Times New Roman"/>
                <w:b w:val="0"/>
                <w:sz w:val="22"/>
              </w:rPr>
              <w:t xml:space="preserve"> — и как травля, и как правонарушение; линии учёта раздельны</w:t>
            </w:r>
          </w:p>
        </w:tc>
      </w:tr>
    </w:tbl>
    <w:p>
      <w:pPr>
        <w:spacing w:after="80"/>
        <w:ind w:firstLine="0"/>
      </w:pPr>
      <w:r>
        <w:rPr>
          <w:rFonts w:ascii="Times New Roman" w:hAnsi="Times New Roman"/>
          <w:b/>
          <w:sz w:val="26"/>
        </w:rPr>
        <w:t>1.6. Проверяемые критерии разграничения</w:t>
      </w:r>
    </w:p>
    <w:p>
      <w:r>
        <w:rPr>
          <w:rFonts w:ascii="Times New Roman" w:hAnsi="Times New Roman"/>
          <w:b w:val="0"/>
          <w:sz w:val="28"/>
        </w:rPr>
        <w:t xml:space="preserve">Случай относится к травле, если </w:t>
      </w:r>
      <w:r>
        <w:rPr>
          <w:rFonts w:ascii="Times New Roman" w:hAnsi="Times New Roman"/>
          <w:b/>
          <w:sz w:val="28"/>
        </w:rPr>
        <w:t>одновременно</w:t>
      </w:r>
      <w:r>
        <w:rPr>
          <w:rFonts w:ascii="Times New Roman" w:hAnsi="Times New Roman"/>
          <w:b w:val="0"/>
          <w:sz w:val="28"/>
        </w:rPr>
        <w:t xml:space="preserve"> совпали четыре условия (протокол учёта — раздел 5.4):</w:t>
      </w:r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1. </w:t>
      </w:r>
      <w:r>
        <w:rPr>
          <w:rFonts w:ascii="Times New Roman" w:hAnsi="Times New Roman"/>
          <w:b/>
          <w:sz w:val="28"/>
        </w:rPr>
        <w:t>Направленность</w:t>
      </w:r>
      <w:r>
        <w:rPr>
          <w:rFonts w:ascii="Times New Roman" w:hAnsi="Times New Roman"/>
          <w:b w:val="0"/>
          <w:sz w:val="28"/>
        </w:rPr>
        <w:t xml:space="preserve"> — на конкретное лицо или устойчивую малую группу.</w:t>
      </w:r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2. </w:t>
      </w:r>
      <w:r>
        <w:rPr>
          <w:rFonts w:ascii="Times New Roman" w:hAnsi="Times New Roman"/>
          <w:b/>
          <w:sz w:val="28"/>
        </w:rPr>
        <w:t>Умысел</w:t>
      </w:r>
      <w:r>
        <w:rPr>
          <w:rFonts w:ascii="Times New Roman" w:hAnsi="Times New Roman"/>
          <w:b w:val="0"/>
          <w:sz w:val="28"/>
        </w:rPr>
        <w:t xml:space="preserve"> — признаки намеренного причинения вреда или унижения.</w:t>
      </w:r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3. </w:t>
      </w:r>
      <w:r>
        <w:rPr>
          <w:rFonts w:ascii="Times New Roman" w:hAnsi="Times New Roman"/>
          <w:b/>
          <w:sz w:val="28"/>
        </w:rPr>
        <w:t>Дисбаланс сил</w:t>
      </w:r>
      <w:r>
        <w:rPr>
          <w:rFonts w:ascii="Times New Roman" w:hAnsi="Times New Roman"/>
          <w:b w:val="0"/>
          <w:sz w:val="28"/>
        </w:rPr>
        <w:t xml:space="preserve"> — тому, кого травят, трудно прекратить воздействие своими силами.</w:t>
      </w:r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4. </w:t>
      </w:r>
      <w:r>
        <w:rPr>
          <w:rFonts w:ascii="Times New Roman" w:hAnsi="Times New Roman"/>
          <w:b/>
          <w:sz w:val="28"/>
        </w:rPr>
        <w:t>Повторяемость либо тяжкий эпизод со страхом повторения</w:t>
      </w:r>
      <w:r>
        <w:rPr>
          <w:rFonts w:ascii="Times New Roman" w:hAnsi="Times New Roman"/>
          <w:b w:val="0"/>
          <w:sz w:val="28"/>
        </w:rPr>
        <w:t xml:space="preserve"> (см. рабочее расширение в 1.1).</w:t>
      </w:r>
    </w:p>
    <w:p>
      <w:pPr>
        <w:spacing w:after="80"/>
        <w:ind w:firstLine="0"/>
      </w:pPr>
      <w:r>
        <w:rPr>
          <w:rFonts w:ascii="Times New Roman" w:hAnsi="Times New Roman"/>
          <w:b/>
          <w:i/>
          <w:sz w:val="24"/>
        </w:rPr>
        <w:t>Важно (разделение порогов).</w:t>
      </w:r>
      <w:r>
        <w:rPr>
          <w:rFonts w:ascii="Times New Roman" w:hAnsi="Times New Roman"/>
          <w:b w:val="0"/>
          <w:i/>
          <w:sz w:val="24"/>
        </w:rPr>
        <w:t xml:space="preserve"> Строгий порог «все четыре условия» применяется </w:t>
      </w:r>
      <w:r>
        <w:rPr>
          <w:rFonts w:ascii="Times New Roman" w:hAnsi="Times New Roman"/>
          <w:b/>
          <w:i/>
          <w:sz w:val="24"/>
        </w:rPr>
        <w:t>для статистики и исследовательских выводов</w:t>
      </w:r>
      <w:r>
        <w:rPr>
          <w:rFonts w:ascii="Times New Roman" w:hAnsi="Times New Roman"/>
          <w:b w:val="0"/>
          <w:i/>
          <w:sz w:val="24"/>
        </w:rPr>
        <w:t xml:space="preserve">. Для </w:t>
      </w:r>
      <w:r>
        <w:rPr>
          <w:rFonts w:ascii="Times New Roman" w:hAnsi="Times New Roman"/>
          <w:b/>
          <w:i/>
          <w:sz w:val="24"/>
        </w:rPr>
        <w:t>помощи ребёнку</w:t>
      </w:r>
      <w:r>
        <w:rPr>
          <w:rFonts w:ascii="Times New Roman" w:hAnsi="Times New Roman"/>
          <w:b w:val="0"/>
          <w:i/>
          <w:sz w:val="24"/>
        </w:rPr>
        <w:t xml:space="preserve"> он не является условием: тяжёлый разовый эпизод запускает процедуру реагирования и защиты, даже если формально не назван травлей. Отсутствие данных для подтверждения помечается `NOT VERIFIED` (это недостаток данных, а не опровержение).</w:t>
      </w:r>
    </w:p>
    <w:p>
      <w:pPr>
        <w:spacing w:after="80"/>
        <w:ind w:firstLine="0"/>
      </w:pPr>
      <w:r>
        <w:rPr>
          <w:rFonts w:ascii="Times New Roman" w:hAnsi="Times New Roman"/>
          <w:b/>
          <w:sz w:val="26"/>
        </w:rPr>
        <w:t>1.7. Базовые рабочие термины</w:t>
      </w:r>
    </w:p>
    <w:p>
      <w:r>
        <w:rPr>
          <w:rFonts w:ascii="Times New Roman" w:hAnsi="Times New Roman"/>
          <w:b/>
          <w:sz w:val="28"/>
        </w:rPr>
        <w:t>Эпизод</w:t>
      </w:r>
      <w:r>
        <w:rPr>
          <w:rFonts w:ascii="Times New Roman" w:hAnsi="Times New Roman"/>
          <w:b w:val="0"/>
          <w:sz w:val="28"/>
        </w:rPr>
        <w:t xml:space="preserve"> — единичное действие или акт. </w:t>
      </w:r>
      <w:r>
        <w:rPr>
          <w:rFonts w:ascii="Times New Roman" w:hAnsi="Times New Roman"/>
          <w:b/>
          <w:sz w:val="28"/>
        </w:rPr>
        <w:t>Случай</w:t>
      </w:r>
      <w:r>
        <w:rPr>
          <w:rFonts w:ascii="Times New Roman" w:hAnsi="Times New Roman"/>
          <w:b w:val="0"/>
          <w:sz w:val="28"/>
        </w:rPr>
        <w:t xml:space="preserve"> — совокупность эпизодов над одним обучающимся за период. </w:t>
      </w:r>
      <w:r>
        <w:rPr>
          <w:rFonts w:ascii="Times New Roman" w:hAnsi="Times New Roman"/>
          <w:b/>
          <w:sz w:val="28"/>
        </w:rPr>
        <w:t>Обращение</w:t>
      </w:r>
      <w:r>
        <w:rPr>
          <w:rFonts w:ascii="Times New Roman" w:hAnsi="Times New Roman"/>
          <w:b w:val="0"/>
          <w:sz w:val="28"/>
        </w:rPr>
        <w:t xml:space="preserve"> — сообщение о проблеме (может не подтвердиться). </w:t>
      </w:r>
      <w:r>
        <w:rPr>
          <w:rFonts w:ascii="Times New Roman" w:hAnsi="Times New Roman"/>
          <w:b/>
          <w:sz w:val="28"/>
        </w:rPr>
        <w:t>Подтверждённый случай</w:t>
      </w:r>
      <w:r>
        <w:rPr>
          <w:rFonts w:ascii="Times New Roman" w:hAnsi="Times New Roman"/>
          <w:b w:val="0"/>
          <w:sz w:val="28"/>
        </w:rPr>
        <w:t xml:space="preserve"> — случай, прошедший верификацию. </w:t>
      </w:r>
      <w:r>
        <w:rPr>
          <w:rFonts w:ascii="Times New Roman" w:hAnsi="Times New Roman"/>
          <w:b/>
          <w:sz w:val="28"/>
        </w:rPr>
        <w:t>Инициатор</w:t>
      </w:r>
      <w:r>
        <w:rPr>
          <w:rFonts w:ascii="Times New Roman" w:hAnsi="Times New Roman"/>
          <w:b w:val="0"/>
          <w:sz w:val="28"/>
        </w:rPr>
        <w:t xml:space="preserve"> — тот, кому приписывается совершение действий (до подтверждения — «предполагаемый»). </w:t>
      </w:r>
      <w:r>
        <w:rPr>
          <w:rFonts w:ascii="Times New Roman" w:hAnsi="Times New Roman"/>
          <w:b/>
          <w:sz w:val="28"/>
        </w:rPr>
        <w:t>Мера реагирования</w:t>
      </w:r>
      <w:r>
        <w:rPr>
          <w:rFonts w:ascii="Times New Roman" w:hAnsi="Times New Roman"/>
          <w:b w:val="0"/>
          <w:sz w:val="28"/>
        </w:rPr>
        <w:t xml:space="preserve"> — действие школы или служб по случаю.</w:t>
      </w:r>
    </w:p>
    <w:p>
      <w:pPr>
        <w:spacing w:after="80"/>
        <w:ind w:firstLine="0"/>
      </w:pPr>
      <w:r>
        <w:rPr>
          <w:rFonts w:ascii="Times New Roman" w:hAnsi="Times New Roman"/>
          <w:b/>
          <w:sz w:val="28"/>
        </w:rPr>
        <w:t>2. Исследовательские вопросы</w:t>
      </w:r>
    </w:p>
    <w:p>
      <w:r>
        <w:rPr>
          <w:rFonts w:ascii="Times New Roman" w:hAnsi="Times New Roman"/>
          <w:b/>
          <w:sz w:val="28"/>
        </w:rPr>
        <w:t>Блок 1. Масштаб и формы</w:t>
      </w:r>
      <w:r>
        <w:rPr>
          <w:rFonts w:ascii="Times New Roman" w:hAnsi="Times New Roman"/>
          <w:b w:val="0"/>
          <w:sz w:val="28"/>
        </w:rPr>
        <w:t xml:space="preserve"> (этап 1; частично 2–3): распространённость по возрастам, типам организаций, регионам и формам; почему оценки расходятся.</w:t>
      </w:r>
    </w:p>
    <w:p>
      <w:r>
        <w:rPr>
          <w:rFonts w:ascii="Times New Roman" w:hAnsi="Times New Roman"/>
          <w:b/>
          <w:sz w:val="28"/>
        </w:rPr>
        <w:t>Блок 2. Группы риска и факторы</w:t>
      </w:r>
      <w:r>
        <w:rPr>
          <w:rFonts w:ascii="Times New Roman" w:hAnsi="Times New Roman"/>
          <w:b w:val="0"/>
          <w:sz w:val="28"/>
        </w:rPr>
        <w:t xml:space="preserve"> (этапы 1–3): кто уязвимее (по возрасту, полу, ОВЗ, языку, социальному положению, миграционному опыту); какие факторы повышают и снижают риск. Задача — проверять </w:t>
      </w:r>
      <w:r>
        <w:rPr>
          <w:rFonts w:ascii="Times New Roman" w:hAnsi="Times New Roman"/>
          <w:b/>
          <w:sz w:val="28"/>
        </w:rPr>
        <w:t>неравный риск и неравный доступ к защите</w:t>
      </w:r>
      <w:r>
        <w:rPr>
          <w:rFonts w:ascii="Times New Roman" w:hAnsi="Times New Roman"/>
          <w:b w:val="0"/>
          <w:sz w:val="28"/>
        </w:rPr>
        <w:t>, а не «навешивать ярлыки».</w:t>
      </w:r>
    </w:p>
    <w:p>
      <w:r>
        <w:rPr>
          <w:rFonts w:ascii="Times New Roman" w:hAnsi="Times New Roman"/>
          <w:b/>
          <w:sz w:val="28"/>
        </w:rPr>
        <w:t>Блок 3. Устройство системы</w:t>
      </w:r>
      <w:r>
        <w:rPr>
          <w:rFonts w:ascii="Times New Roman" w:hAnsi="Times New Roman"/>
          <w:b w:val="0"/>
          <w:sz w:val="28"/>
        </w:rPr>
        <w:t xml:space="preserve"> (этап 1): выявление, регистрация, маршрутизация, реагирование; распределение ответственности; разрывы и стимулы к сокрытию.</w:t>
      </w:r>
    </w:p>
    <w:p>
      <w:r>
        <w:rPr>
          <w:rFonts w:ascii="Times New Roman" w:hAnsi="Times New Roman"/>
          <w:b/>
          <w:sz w:val="28"/>
        </w:rPr>
        <w:t>Блок 4. Что помогает и мешает</w:t>
      </w:r>
      <w:r>
        <w:rPr>
          <w:rFonts w:ascii="Times New Roman" w:hAnsi="Times New Roman"/>
          <w:b w:val="0"/>
          <w:sz w:val="28"/>
        </w:rPr>
        <w:t xml:space="preserve"> (этапы 1–3): нормы, полномочия и практики; какие меры снижают травлю, а какие не работают или вредят.</w:t>
      </w:r>
    </w:p>
    <w:p>
      <w:r>
        <w:rPr>
          <w:rFonts w:ascii="Times New Roman" w:hAnsi="Times New Roman"/>
          <w:b/>
          <w:sz w:val="28"/>
        </w:rPr>
        <w:t>Блок 5. Регионы</w:t>
      </w:r>
      <w:r>
        <w:rPr>
          <w:rFonts w:ascii="Times New Roman" w:hAnsi="Times New Roman"/>
          <w:b w:val="0"/>
          <w:sz w:val="28"/>
        </w:rPr>
        <w:t xml:space="preserve"> (этап 2): какие меры применяются и подтверждена ли их результативность.</w:t>
      </w:r>
    </w:p>
    <w:p>
      <w:r>
        <w:rPr>
          <w:rFonts w:ascii="Times New Roman" w:hAnsi="Times New Roman"/>
          <w:b/>
          <w:sz w:val="28"/>
        </w:rPr>
        <w:t>Блок 6. Мировой опыт</w:t>
      </w:r>
      <w:r>
        <w:rPr>
          <w:rFonts w:ascii="Times New Roman" w:hAnsi="Times New Roman"/>
          <w:b w:val="0"/>
          <w:sz w:val="28"/>
        </w:rPr>
        <w:t xml:space="preserve"> (этап 3): какие программы дали устойчивый, смешанный или нулевой эффект и при каких условиях.</w:t>
      </w:r>
    </w:p>
    <w:p>
      <w:r>
        <w:rPr>
          <w:rFonts w:ascii="Times New Roman" w:hAnsi="Times New Roman"/>
          <w:b/>
          <w:sz w:val="28"/>
        </w:rPr>
        <w:t>Блок 7. Переносимость</w:t>
      </w:r>
      <w:r>
        <w:rPr>
          <w:rFonts w:ascii="Times New Roman" w:hAnsi="Times New Roman"/>
          <w:b w:val="0"/>
          <w:sz w:val="28"/>
        </w:rPr>
        <w:t xml:space="preserve"> (этап 5): что совместимо с российской системой, а что нет.</w:t>
      </w:r>
    </w:p>
    <w:p>
      <w:r>
        <w:rPr>
          <w:rFonts w:ascii="Times New Roman" w:hAnsi="Times New Roman"/>
          <w:b/>
          <w:sz w:val="28"/>
        </w:rPr>
        <w:t>Блок 8. Что менять</w:t>
      </w:r>
      <w:r>
        <w:rPr>
          <w:rFonts w:ascii="Times New Roman" w:hAnsi="Times New Roman"/>
          <w:b w:val="0"/>
          <w:sz w:val="28"/>
        </w:rPr>
        <w:t xml:space="preserve"> (этап 6): какой пакет мер по направлениям A–D имеет лучшую доказательную основу и реализуемость.</w:t>
      </w:r>
    </w:p>
    <w:p>
      <w:pPr>
        <w:spacing w:after="80"/>
        <w:ind w:firstLine="0"/>
      </w:pPr>
      <w:r>
        <w:rPr>
          <w:rFonts w:ascii="Times New Roman" w:hAnsi="Times New Roman"/>
          <w:b/>
          <w:sz w:val="28"/>
        </w:rPr>
        <w:t>3. Границы исследования</w:t>
      </w:r>
    </w:p>
    <w:p>
      <w:r>
        <w:rPr>
          <w:rFonts w:ascii="Times New Roman" w:hAnsi="Times New Roman"/>
          <w:b/>
          <w:sz w:val="28"/>
        </w:rPr>
        <w:t>Входит:</w:t>
      </w:r>
      <w:r>
        <w:rPr>
          <w:rFonts w:ascii="Times New Roman" w:hAnsi="Times New Roman"/>
          <w:b w:val="0"/>
          <w:sz w:val="28"/>
        </w:rPr>
        <w:t xml:space="preserve"> травля в школе и связанных пространствах; связанный со школой кибербуллинг; весь цикл — профилактика, выявление, реагирование, работа с участниками, восстановление; российская практика; международный опыт, включая неудачный; переносимость.</w:t>
      </w:r>
    </w:p>
    <w:p>
      <w:r>
        <w:rPr>
          <w:rFonts w:ascii="Times New Roman" w:hAnsi="Times New Roman"/>
          <w:b/>
          <w:sz w:val="28"/>
        </w:rPr>
        <w:t>Не входит:</w:t>
      </w:r>
      <w:r>
        <w:rPr>
          <w:rFonts w:ascii="Times New Roman" w:hAnsi="Times New Roman"/>
          <w:b w:val="0"/>
          <w:sz w:val="28"/>
        </w:rPr>
        <w:t xml:space="preserve"> травля среди взрослых, в семье, на работе; правонарушения вне школы; разработка проектов нормативных актов; проведение пилота (только проектирование).</w:t>
      </w:r>
    </w:p>
    <w:p>
      <w:r>
        <w:rPr>
          <w:rFonts w:ascii="Times New Roman" w:hAnsi="Times New Roman"/>
          <w:b/>
          <w:sz w:val="28"/>
        </w:rPr>
        <w:t>Требует решения в рамках проекта:</w:t>
      </w:r>
      <w:r>
        <w:rPr>
          <w:rFonts w:ascii="Times New Roman" w:hAnsi="Times New Roman"/>
          <w:b w:val="0"/>
          <w:sz w:val="28"/>
        </w:rPr>
        <w:t xml:space="preserve"> (а) уровень образования — только школа или также СПО и дошкольное; (б) включение случаев, где инициатор — педагог или сотрудник (по умолчанию — включаем с отдельной пометкой и отдельным порядком).</w:t>
      </w:r>
    </w:p>
    <w:p>
      <w:pPr>
        <w:spacing w:after="80"/>
        <w:ind w:firstLine="0"/>
      </w:pPr>
      <w:r>
        <w:rPr>
          <w:rFonts w:ascii="Times New Roman" w:hAnsi="Times New Roman"/>
          <w:b/>
          <w:sz w:val="28"/>
        </w:rPr>
        <w:t>4. Показатели и измерение</w:t>
      </w:r>
    </w:p>
    <w:p>
      <w:pPr>
        <w:spacing w:after="80"/>
        <w:ind w:firstLine="0"/>
      </w:pPr>
      <w:r>
        <w:rPr>
          <w:rFonts w:ascii="Times New Roman" w:hAnsi="Times New Roman"/>
          <w:b/>
          <w:sz w:val="26"/>
        </w:rPr>
        <w:t>4.1. Разделяемые показатели (нельзя смешивать)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677"/>
        <w:gridCol w:w="4677"/>
      </w:tblGrid>
      <w:tr>
        <w:tc>
          <w:tcPr>
            <w:tcW w:type="dxa" w:w="4677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sz w:val="22"/>
              </w:rPr>
              <w:t>Показатель</w:t>
            </w:r>
          </w:p>
        </w:tc>
        <w:tc>
          <w:tcPr>
            <w:tcW w:type="dxa" w:w="4677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sz w:val="22"/>
              </w:rPr>
              <w:t>Что отражает</w:t>
            </w:r>
          </w:p>
        </w:tc>
      </w:tr>
      <w:tr>
        <w:tc>
          <w:tcPr>
            <w:tcW w:type="dxa" w:w="4677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Распространённость</w:t>
            </w:r>
          </w:p>
        </w:tc>
        <w:tc>
          <w:tcPr>
            <w:tcW w:type="dxa" w:w="4677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сколько детей реально затронуто (оценивается анонимными измерениями)</w:t>
            </w:r>
          </w:p>
        </w:tc>
      </w:tr>
      <w:tr>
        <w:tc>
          <w:tcPr>
            <w:tcW w:type="dxa" w:w="4677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Выявляемость</w:t>
            </w:r>
          </w:p>
        </w:tc>
        <w:tc>
          <w:tcPr>
            <w:tcW w:type="dxa" w:w="4677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какая доля случаев становится известна</w:t>
            </w:r>
          </w:p>
        </w:tc>
      </w:tr>
      <w:tr>
        <w:tc>
          <w:tcPr>
            <w:tcW w:type="dxa" w:w="4677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Обращаемость</w:t>
            </w:r>
          </w:p>
        </w:tc>
        <w:tc>
          <w:tcPr>
            <w:tcW w:type="dxa" w:w="4677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сколько обращений поступает</w:t>
            </w:r>
          </w:p>
        </w:tc>
      </w:tr>
      <w:tr>
        <w:tc>
          <w:tcPr>
            <w:tcW w:type="dxa" w:w="4677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Регистрация</w:t>
            </w:r>
          </w:p>
        </w:tc>
        <w:tc>
          <w:tcPr>
            <w:tcW w:type="dxa" w:w="4677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сколько случаев официально зафиксировано</w:t>
            </w:r>
          </w:p>
        </w:tc>
      </w:tr>
      <w:tr>
        <w:tc>
          <w:tcPr>
            <w:tcW w:type="dxa" w:w="4677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Качество реагирования</w:t>
            </w:r>
          </w:p>
        </w:tc>
        <w:tc>
          <w:tcPr>
            <w:tcW w:type="dxa" w:w="4677"/>
          </w:tcPr>
          <w:p>
            <w:pPr>
              <w:ind w:firstLine="0"/>
            </w:pPr>
            <w:r>
              <w:rPr>
                <w:rFonts w:ascii="Times New Roman" w:hAnsi="Times New Roman"/>
                <w:b w:val="0"/>
                <w:sz w:val="22"/>
              </w:rPr>
              <w:t>насколько быстро и правильно реагируют</w:t>
            </w:r>
          </w:p>
        </w:tc>
      </w:tr>
    </w:tbl>
    <w:p>
      <w:r>
        <w:rPr>
          <w:rFonts w:ascii="Times New Roman" w:hAnsi="Times New Roman"/>
          <w:b/>
          <w:sz w:val="28"/>
        </w:rPr>
        <w:t>Число зарегистрированных случаев не является мерой распространённости.</w:t>
      </w:r>
    </w:p>
    <w:p>
      <w:pPr>
        <w:spacing w:after="80"/>
        <w:ind w:firstLine="0"/>
      </w:pPr>
      <w:r>
        <w:rPr>
          <w:rFonts w:ascii="Times New Roman" w:hAnsi="Times New Roman"/>
          <w:b/>
          <w:sz w:val="26"/>
        </w:rPr>
        <w:t>4.2. Три уровня показателей</w:t>
      </w:r>
    </w:p>
    <w:p>
      <w:r>
        <w:rPr>
          <w:rFonts w:ascii="Times New Roman" w:hAnsi="Times New Roman"/>
          <w:b w:val="0"/>
          <w:sz w:val="28"/>
        </w:rPr>
        <w:t>Внедрение (делаем ли задуманное) · непосредственный результат (промежуточные изменения) · конечный эффект (стало ли меньше травли).</w:t>
      </w:r>
    </w:p>
    <w:p>
      <w:pPr>
        <w:spacing w:after="80"/>
        <w:ind w:firstLine="0"/>
      </w:pPr>
      <w:r>
        <w:rPr>
          <w:rFonts w:ascii="Times New Roman" w:hAnsi="Times New Roman"/>
          <w:b/>
          <w:sz w:val="26"/>
        </w:rPr>
        <w:t>4.3. Минимальный набор исходов</w:t>
      </w:r>
    </w:p>
    <w:p>
      <w:r>
        <w:rPr>
          <w:rFonts w:ascii="Times New Roman" w:hAnsi="Times New Roman"/>
          <w:b w:val="0"/>
          <w:sz w:val="28"/>
        </w:rPr>
        <w:t>Чувство безопасности и принадлежности; повторяемость и тяжесть эпизодов; готовность обращаться; срок и качество реакции школы; повторные эпизоды; охват и качество внедрения мер.</w:t>
      </w:r>
    </w:p>
    <w:p>
      <w:pPr>
        <w:spacing w:after="80"/>
        <w:ind w:firstLine="0"/>
      </w:pPr>
      <w:r>
        <w:rPr>
          <w:rFonts w:ascii="Times New Roman" w:hAnsi="Times New Roman"/>
          <w:b/>
          <w:sz w:val="26"/>
        </w:rPr>
        <w:t>4.4. Измерительная ловушка</w:t>
      </w:r>
    </w:p>
    <w:p>
      <w:r>
        <w:rPr>
          <w:rFonts w:ascii="Times New Roman" w:hAnsi="Times New Roman"/>
          <w:b w:val="0"/>
          <w:sz w:val="28"/>
        </w:rPr>
        <w:t xml:space="preserve">Рост выявленных случаев после улучшения выявления — </w:t>
      </w:r>
      <w:r>
        <w:rPr>
          <w:rFonts w:ascii="Times New Roman" w:hAnsi="Times New Roman"/>
          <w:b/>
          <w:sz w:val="28"/>
        </w:rPr>
        <w:t>положительный</w:t>
      </w:r>
      <w:r>
        <w:rPr>
          <w:rFonts w:ascii="Times New Roman" w:hAnsi="Times New Roman"/>
          <w:b w:val="0"/>
          <w:sz w:val="28"/>
        </w:rPr>
        <w:t xml:space="preserve"> промежуточный результат. Снижение обращений само по себе </w:t>
      </w:r>
      <w:r>
        <w:rPr>
          <w:rFonts w:ascii="Times New Roman" w:hAnsi="Times New Roman"/>
          <w:b/>
          <w:sz w:val="28"/>
        </w:rPr>
        <w:t>не</w:t>
      </w:r>
      <w:r>
        <w:rPr>
          <w:rFonts w:ascii="Times New Roman" w:hAnsi="Times New Roman"/>
          <w:b w:val="0"/>
          <w:sz w:val="28"/>
        </w:rPr>
        <w:t xml:space="preserve"> доказывает уменьшение травли.</w:t>
      </w:r>
    </w:p>
    <w:p>
      <w:pPr>
        <w:spacing w:after="80"/>
        <w:ind w:firstLine="0"/>
      </w:pPr>
      <w:r>
        <w:rPr>
          <w:rFonts w:ascii="Times New Roman" w:hAnsi="Times New Roman"/>
          <w:b/>
          <w:sz w:val="26"/>
        </w:rPr>
        <w:t>4.5. Дизайн оценки эффекта</w:t>
      </w:r>
    </w:p>
    <w:p>
      <w:r>
        <w:rPr>
          <w:rFonts w:ascii="Times New Roman" w:hAnsi="Times New Roman"/>
          <w:b w:val="0"/>
          <w:sz w:val="28"/>
        </w:rPr>
        <w:t xml:space="preserve">Сравнение «до — после» само по себе </w:t>
      </w:r>
      <w:r>
        <w:rPr>
          <w:rFonts w:ascii="Times New Roman" w:hAnsi="Times New Roman"/>
          <w:b/>
          <w:sz w:val="28"/>
        </w:rPr>
        <w:t>не</w:t>
      </w:r>
      <w:r>
        <w:rPr>
          <w:rFonts w:ascii="Times New Roman" w:hAnsi="Times New Roman"/>
          <w:b w:val="0"/>
          <w:sz w:val="28"/>
        </w:rPr>
        <w:t xml:space="preserve"> доказывает эффект. Нужны исходная точка, сравнимая группа или иной контрфактический дизайн, и отдельная оценка </w:t>
      </w:r>
      <w:r>
        <w:rPr>
          <w:rFonts w:ascii="Times New Roman" w:hAnsi="Times New Roman"/>
          <w:b/>
          <w:sz w:val="28"/>
        </w:rPr>
        <w:t>качества реализации</w:t>
      </w:r>
      <w:r>
        <w:rPr>
          <w:rFonts w:ascii="Times New Roman" w:hAnsi="Times New Roman"/>
          <w:b w:val="0"/>
          <w:sz w:val="28"/>
        </w:rPr>
        <w:t xml:space="preserve"> меры.</w:t>
      </w:r>
    </w:p>
    <w:p>
      <w:pPr>
        <w:spacing w:after="80"/>
        <w:ind w:firstLine="0"/>
      </w:pPr>
      <w:r>
        <w:rPr>
          <w:rFonts w:ascii="Times New Roman" w:hAnsi="Times New Roman"/>
          <w:b/>
          <w:sz w:val="28"/>
        </w:rPr>
        <w:t>5. Методы и данные</w:t>
      </w:r>
    </w:p>
    <w:p>
      <w:r>
        <w:rPr>
          <w:rFonts w:ascii="Times New Roman" w:hAnsi="Times New Roman"/>
          <w:b/>
          <w:sz w:val="28"/>
        </w:rPr>
        <w:t>Подход:</w:t>
      </w:r>
      <w:r>
        <w:rPr>
          <w:rFonts w:ascii="Times New Roman" w:hAnsi="Times New Roman"/>
          <w:b w:val="0"/>
          <w:sz w:val="28"/>
        </w:rPr>
        <w:t xml:space="preserve"> смешанные методы и триангуляция; ни один источник не считается достаточным сам по себе.</w:t>
      </w:r>
    </w:p>
    <w:p>
      <w:r>
        <w:rPr>
          <w:rFonts w:ascii="Times New Roman" w:hAnsi="Times New Roman"/>
          <w:b/>
          <w:sz w:val="28"/>
        </w:rPr>
        <w:t>Протокол поиска и отбора</w:t>
      </w:r>
      <w:r>
        <w:rPr>
          <w:rFonts w:ascii="Times New Roman" w:hAnsi="Times New Roman"/>
          <w:b w:val="0"/>
          <w:sz w:val="28"/>
        </w:rPr>
        <w:t xml:space="preserve"> (для воспроизводимости): базы данных, языки, даты поиска, критерии включения и исключения — фиксируются заранее.</w:t>
      </w:r>
    </w:p>
    <w:p>
      <w:r>
        <w:rPr>
          <w:rFonts w:ascii="Times New Roman" w:hAnsi="Times New Roman"/>
          <w:b/>
          <w:sz w:val="28"/>
        </w:rPr>
        <w:t>Стандартизированные инструменты измерения:</w:t>
      </w:r>
      <w:r>
        <w:rPr>
          <w:rFonts w:ascii="Times New Roman" w:hAnsi="Times New Roman"/>
          <w:b w:val="0"/>
          <w:sz w:val="28"/>
        </w:rPr>
        <w:t xml:space="preserve"> Olweus Bully/Victim Questionnaire — </w:t>
      </w:r>
      <w:hyperlink r:id="rId10">
        <w:r>
          <w:rPr>
            <w:rFonts w:ascii="Times New Roman" w:hAnsi="Times New Roman"/>
            <w:color w:val="0563C1"/>
            <w:u w:val="single"/>
            <w:sz w:val="24"/>
          </w:rPr>
          <w:t xml:space="preserve">Olweus, 1993</w:t>
        </w:r>
      </w:hyperlink>
      <w:r>
        <w:rPr>
          <w:rFonts w:ascii="Times New Roman" w:hAnsi="Times New Roman"/>
          <w:b w:val="0"/>
          <w:sz w:val="28"/>
        </w:rPr>
        <w:t xml:space="preserve">; международные обследования — </w:t>
      </w:r>
      <w:hyperlink r:id="rId12">
        <w:r>
          <w:rPr>
            <w:rFonts w:ascii="Times New Roman" w:hAnsi="Times New Roman"/>
            <w:color w:val="0563C1"/>
            <w:u w:val="single"/>
            <w:sz w:val="24"/>
          </w:rPr>
          <w:t xml:space="preserve">GSHS (ВОЗ)</w:t>
        </w:r>
      </w:hyperlink>
      <w:r>
        <w:rPr>
          <w:rFonts w:ascii="Times New Roman" w:hAnsi="Times New Roman"/>
          <w:b w:val="0"/>
          <w:sz w:val="28"/>
        </w:rPr>
        <w:t xml:space="preserve"> и </w:t>
      </w:r>
      <w:hyperlink r:id="rId13">
        <w:r>
          <w:rPr>
            <w:rFonts w:ascii="Times New Roman" w:hAnsi="Times New Roman"/>
            <w:color w:val="0563C1"/>
            <w:u w:val="single"/>
            <w:sz w:val="24"/>
          </w:rPr>
          <w:t xml:space="preserve">HBSC</w:t>
        </w:r>
      </w:hyperlink>
      <w:r>
        <w:rPr>
          <w:rFonts w:ascii="Times New Roman" w:hAnsi="Times New Roman"/>
          <w:b w:val="0"/>
          <w:sz w:val="28"/>
        </w:rPr>
        <w:t>. Прямое сравнение их результатов требует сверки определений и периода.</w:t>
      </w:r>
    </w:p>
    <w:p>
      <w:r>
        <w:rPr>
          <w:rFonts w:ascii="Times New Roman" w:hAnsi="Times New Roman"/>
          <w:b/>
          <w:sz w:val="28"/>
        </w:rPr>
        <w:t>Работа с недоучётом и сокрытием:</w:t>
      </w:r>
      <w:r>
        <w:rPr>
          <w:rFonts w:ascii="Times New Roman" w:hAnsi="Times New Roman"/>
          <w:b w:val="0"/>
          <w:sz w:val="28"/>
        </w:rPr>
        <w:t xml:space="preserve"> отсутствие зарегистрированных случаев не считается доказательством отсутствия травли; расхождение «дети — взрослые» фиксируется как самостоятельный факт; </w:t>
      </w:r>
      <w:r>
        <w:rPr>
          <w:rFonts w:ascii="Times New Roman" w:hAnsi="Times New Roman"/>
          <w:b/>
          <w:sz w:val="28"/>
        </w:rPr>
        <w:t>показатели запрещено использовать для наказания или рейтинга школ</w:t>
      </w:r>
      <w:r>
        <w:rPr>
          <w:rFonts w:ascii="Times New Roman" w:hAnsi="Times New Roman"/>
          <w:b w:val="0"/>
          <w:sz w:val="28"/>
        </w:rPr>
        <w:t xml:space="preserve"> — иначе появляется стимул скрывать случаи.</w:t>
      </w:r>
    </w:p>
    <w:p>
      <w:r>
        <w:rPr>
          <w:rFonts w:ascii="Times New Roman" w:hAnsi="Times New Roman"/>
          <w:b/>
          <w:sz w:val="28"/>
        </w:rPr>
        <w:t>Единица учёта:</w:t>
      </w:r>
      <w:r>
        <w:rPr>
          <w:rFonts w:ascii="Times New Roman" w:hAnsi="Times New Roman"/>
          <w:b w:val="0"/>
          <w:sz w:val="28"/>
        </w:rPr>
        <w:t xml:space="preserve"> случай над конкретным обучающимся за период; один инцидент, упомянутый школой, ведомством и платформой, учитывается один раз (правила дедупликации — в протоколе учёта). Одно событие может затрагивать нескольких детей — учитывается по числу пострадавших.</w:t>
      </w:r>
    </w:p>
    <w:p>
      <w:r>
        <w:rPr>
          <w:rFonts w:ascii="Times New Roman" w:hAnsi="Times New Roman"/>
          <w:b/>
          <w:sz w:val="28"/>
        </w:rPr>
        <w:t>Пропуски и неответы:</w:t>
      </w:r>
      <w:r>
        <w:rPr>
          <w:rFonts w:ascii="Times New Roman" w:hAnsi="Times New Roman"/>
          <w:b w:val="0"/>
          <w:sz w:val="28"/>
        </w:rPr>
        <w:t xml:space="preserve"> отдельный протокол работы с отсутствующими данными и расхождением анонимных опросов и административного учёта.</w:t>
      </w:r>
    </w:p>
    <w:p>
      <w:r>
        <w:rPr>
          <w:rFonts w:ascii="Times New Roman" w:hAnsi="Times New Roman"/>
          <w:b/>
          <w:sz w:val="28"/>
        </w:rPr>
        <w:t>Карта доступности данных:</w:t>
      </w:r>
      <w:r>
        <w:rPr>
          <w:rFonts w:ascii="Times New Roman" w:hAnsi="Times New Roman"/>
          <w:b w:val="0"/>
          <w:sz w:val="28"/>
        </w:rPr>
        <w:t xml:space="preserve"> что открыто; что требует запроса; чего нет. Отсутствие доступа фиксируется как ограничение и не замещается предположениями.</w:t>
      </w:r>
    </w:p>
    <w:p>
      <w:pPr>
        <w:spacing w:after="80"/>
        <w:ind w:firstLine="0"/>
      </w:pPr>
      <w:r>
        <w:rPr>
          <w:rFonts w:ascii="Times New Roman" w:hAnsi="Times New Roman"/>
          <w:b/>
          <w:sz w:val="28"/>
        </w:rPr>
        <w:t>6. Стандарт доказательств</w:t>
      </w:r>
    </w:p>
    <w:p>
      <w:pPr>
        <w:spacing w:after="80"/>
        <w:ind w:firstLine="0"/>
      </w:pPr>
      <w:r>
        <w:rPr>
          <w:rFonts w:ascii="Times New Roman" w:hAnsi="Times New Roman"/>
          <w:b/>
          <w:sz w:val="26"/>
        </w:rPr>
        <w:t>6.1. Ориентир по источникам (не жёсткая лестница)</w:t>
      </w:r>
    </w:p>
    <w:p>
      <w:r>
        <w:rPr>
          <w:rFonts w:ascii="Times New Roman" w:hAnsi="Times New Roman"/>
          <w:b w:val="0"/>
          <w:sz w:val="28"/>
        </w:rPr>
        <w:t>Обзоры и метаанализы → экспериментальные и квазиэкспериментальные исследования → крупные продольные и репрезентативные данные → официальные документы и статистика → исследования с прозрачной методикой → качественные исследования и материалы НКО → СМИ (только контекст).</w:t>
      </w:r>
    </w:p>
    <w:p>
      <w:r>
        <w:rPr>
          <w:rFonts w:ascii="Times New Roman" w:hAnsi="Times New Roman"/>
          <w:b/>
          <w:sz w:val="28"/>
        </w:rPr>
        <w:t>Качество определяется не «типом носителя», а дизайном:</w:t>
      </w:r>
      <w:r>
        <w:rPr>
          <w:rFonts w:ascii="Times New Roman" w:hAnsi="Times New Roman"/>
          <w:b w:val="0"/>
          <w:sz w:val="28"/>
        </w:rPr>
        <w:t xml:space="preserve"> размер и состав выборки, способ измерения травли, период вопроса, пропуски, риск систематической ошибки, применимость к российской школе. Официальная статистика используется для </w:t>
      </w:r>
      <w:r>
        <w:rPr>
          <w:rFonts w:ascii="Times New Roman" w:hAnsi="Times New Roman"/>
          <w:b/>
          <w:sz w:val="28"/>
        </w:rPr>
        <w:t>зарегистрированных</w:t>
      </w:r>
      <w:r>
        <w:rPr>
          <w:rFonts w:ascii="Times New Roman" w:hAnsi="Times New Roman"/>
          <w:b w:val="0"/>
          <w:sz w:val="28"/>
        </w:rPr>
        <w:t xml:space="preserve"> случаев, а не для оценки истинной распространённости.</w:t>
      </w:r>
    </w:p>
    <w:p>
      <w:pPr>
        <w:spacing w:after="80"/>
        <w:ind w:firstLine="0"/>
      </w:pPr>
      <w:r>
        <w:rPr>
          <w:rFonts w:ascii="Times New Roman" w:hAnsi="Times New Roman"/>
          <w:b/>
          <w:sz w:val="26"/>
        </w:rPr>
        <w:t>6.2. Шкала уверенности вывода</w:t>
      </w:r>
    </w:p>
    <w:p>
      <w:r>
        <w:rPr>
          <w:rFonts w:ascii="Times New Roman" w:hAnsi="Times New Roman"/>
          <w:b w:val="0"/>
          <w:sz w:val="28"/>
        </w:rPr>
        <w:t xml:space="preserve">Высокая · средняя · низкая · «недостаточно данных». Присваивается </w:t>
      </w:r>
      <w:r>
        <w:rPr>
          <w:rFonts w:ascii="Times New Roman" w:hAnsi="Times New Roman"/>
          <w:b/>
          <w:sz w:val="28"/>
        </w:rPr>
        <w:t>выводу</w:t>
      </w:r>
      <w:r>
        <w:rPr>
          <w:rFonts w:ascii="Times New Roman" w:hAnsi="Times New Roman"/>
          <w:b w:val="0"/>
          <w:sz w:val="28"/>
        </w:rPr>
        <w:t>, а не источнику.</w:t>
      </w:r>
    </w:p>
    <w:p>
      <w:pPr>
        <w:spacing w:after="80"/>
        <w:ind w:firstLine="0"/>
      </w:pPr>
      <w:r>
        <w:rPr>
          <w:rFonts w:ascii="Times New Roman" w:hAnsi="Times New Roman"/>
          <w:b/>
          <w:sz w:val="26"/>
        </w:rPr>
        <w:t>6.3. Правила причинных выводов</w:t>
      </w:r>
    </w:p>
    <w:p>
      <w:r>
        <w:rPr>
          <w:rFonts w:ascii="Times New Roman" w:hAnsi="Times New Roman"/>
          <w:b w:val="0"/>
          <w:sz w:val="28"/>
        </w:rPr>
        <w:t>Корреляция не выдаётся за причинность. Различаются «нет эффекта», «нет данных» и «провал реализации». Если атрибуция невозможна — фиксируется «нет данных для причинного вывода».</w:t>
      </w:r>
    </w:p>
    <w:p>
      <w:pPr>
        <w:spacing w:after="80"/>
        <w:ind w:firstLine="0"/>
      </w:pPr>
      <w:r>
        <w:rPr>
          <w:rFonts w:ascii="Times New Roman" w:hAnsi="Times New Roman"/>
          <w:b/>
          <w:sz w:val="28"/>
        </w:rPr>
        <w:t>7. Критерии</w:t>
      </w:r>
    </w:p>
    <w:p>
      <w:pPr>
        <w:spacing w:after="80"/>
        <w:ind w:firstLine="0"/>
      </w:pPr>
      <w:r>
        <w:rPr>
          <w:rFonts w:ascii="Times New Roman" w:hAnsi="Times New Roman"/>
          <w:b/>
          <w:sz w:val="26"/>
        </w:rPr>
        <w:t>7.1. Критерии переносимости зарубежного опыта</w:t>
      </w:r>
    </w:p>
    <w:p>
      <w:r>
        <w:rPr>
          <w:rFonts w:ascii="Times New Roman" w:hAnsi="Times New Roman"/>
          <w:b w:val="0"/>
          <w:sz w:val="28"/>
        </w:rPr>
        <w:t>Право и полномочия · совместимость с системой образования · культурная и языковая адаптация · кадровые и финансовые требования · нагрузка на школу · реализуемость в регионах с разными ресурсами · защита данных.</w:t>
      </w:r>
    </w:p>
    <w:p>
      <w:pPr>
        <w:spacing w:after="80"/>
        <w:ind w:firstLine="0"/>
      </w:pPr>
      <w:r>
        <w:rPr>
          <w:rFonts w:ascii="Times New Roman" w:hAnsi="Times New Roman"/>
          <w:b/>
          <w:sz w:val="26"/>
        </w:rPr>
        <w:t>7.2. Критерии завершения этапов</w:t>
      </w:r>
    </w:p>
    <w:p>
      <w:r>
        <w:rPr>
          <w:rFonts w:ascii="Times New Roman" w:hAnsi="Times New Roman"/>
          <w:b w:val="0"/>
          <w:sz w:val="28"/>
        </w:rPr>
        <w:t>Результат содержит все обязательные элементы; отделяет факты от гипотез; имеет оценки уверенности; прошёл сверку с целями проекта.</w:t>
      </w:r>
    </w:p>
    <w:p>
      <w:pPr>
        <w:spacing w:after="80"/>
        <w:ind w:firstLine="0"/>
      </w:pPr>
      <w:r>
        <w:rPr>
          <w:rFonts w:ascii="Times New Roman" w:hAnsi="Times New Roman"/>
          <w:b/>
          <w:sz w:val="26"/>
        </w:rPr>
        <w:t>7.3. Протокол проверки результата</w:t>
      </w:r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1. </w:t>
      </w:r>
      <w:r>
        <w:rPr>
          <w:rFonts w:ascii="Times New Roman" w:hAnsi="Times New Roman"/>
          <w:b/>
          <w:sz w:val="28"/>
        </w:rPr>
        <w:t>Внутренняя сверка с целями</w:t>
      </w:r>
      <w:r>
        <w:rPr>
          <w:rFonts w:ascii="Times New Roman" w:hAnsi="Times New Roman"/>
          <w:b w:val="0"/>
          <w:sz w:val="28"/>
        </w:rPr>
        <w:t xml:space="preserve"> (приближает ли к цели; не расширились ли границы; есть ли следующий шаг).</w:t>
      </w:r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2. </w:t>
      </w:r>
      <w:r>
        <w:rPr>
          <w:rFonts w:ascii="Times New Roman" w:hAnsi="Times New Roman"/>
          <w:b/>
          <w:sz w:val="28"/>
        </w:rPr>
        <w:t>Проверка цепочки «данные → выводы → меры → результат»</w:t>
      </w:r>
      <w:r>
        <w:rPr>
          <w:rFonts w:ascii="Times New Roman" w:hAnsi="Times New Roman"/>
          <w:b w:val="0"/>
          <w:sz w:val="28"/>
        </w:rPr>
        <w:t xml:space="preserve"> по фиксированному чек-листу.</w:t>
      </w:r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3. </w:t>
      </w:r>
      <w:r>
        <w:rPr>
          <w:rFonts w:ascii="Times New Roman" w:hAnsi="Times New Roman"/>
          <w:b/>
          <w:sz w:val="28"/>
        </w:rPr>
        <w:t>Согласование с внешними моделями</w:t>
      </w:r>
      <w:r>
        <w:rPr>
          <w:rFonts w:ascii="Times New Roman" w:hAnsi="Times New Roman"/>
          <w:b w:val="0"/>
          <w:sz w:val="28"/>
        </w:rPr>
        <w:t xml:space="preserve"> (Claude и GPT) — </w:t>
      </w:r>
      <w:r>
        <w:rPr>
          <w:rFonts w:ascii="Times New Roman" w:hAnsi="Times New Roman"/>
          <w:b/>
          <w:sz w:val="28"/>
        </w:rPr>
        <w:t>вспомогательный</w:t>
      </w:r>
      <w:r>
        <w:rPr>
          <w:rFonts w:ascii="Times New Roman" w:hAnsi="Times New Roman"/>
          <w:b w:val="0"/>
          <w:sz w:val="28"/>
        </w:rPr>
        <w:t xml:space="preserve"> инструмент поиска пробелов; оно </w:t>
      </w:r>
      <w:r>
        <w:rPr>
          <w:rFonts w:ascii="Times New Roman" w:hAnsi="Times New Roman"/>
          <w:b/>
          <w:sz w:val="28"/>
        </w:rPr>
        <w:t>не заменяет</w:t>
      </w:r>
      <w:r>
        <w:rPr>
          <w:rFonts w:ascii="Times New Roman" w:hAnsi="Times New Roman"/>
          <w:b w:val="0"/>
          <w:sz w:val="28"/>
        </w:rPr>
        <w:t xml:space="preserve"> независимую проверку. Итоговая независимая проверка — человеческая, по фиксированному чек-листу и первоисточникам. Идентифицируемые данные детей моделям не передаются.</w:t>
      </w:r>
    </w:p>
    <w:p>
      <w:pPr>
        <w:spacing w:after="80"/>
        <w:ind w:firstLine="0"/>
      </w:pPr>
      <w:r>
        <w:rPr>
          <w:rFonts w:ascii="Times New Roman" w:hAnsi="Times New Roman"/>
          <w:b/>
          <w:sz w:val="28"/>
        </w:rPr>
        <w:t>8. Этика и защита данных</w:t>
      </w:r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– </w:t>
      </w:r>
      <w:r>
        <w:rPr>
          <w:rFonts w:ascii="Times New Roman" w:hAnsi="Times New Roman"/>
          <w:b/>
          <w:sz w:val="28"/>
        </w:rPr>
        <w:t>Согласие:</w:t>
      </w:r>
      <w:r>
        <w:rPr>
          <w:rFonts w:ascii="Times New Roman" w:hAnsi="Times New Roman"/>
          <w:b w:val="0"/>
          <w:sz w:val="28"/>
        </w:rPr>
        <w:t xml:space="preserve"> информированное согласие родителей и </w:t>
      </w:r>
      <w:r>
        <w:rPr>
          <w:rFonts w:ascii="Times New Roman" w:hAnsi="Times New Roman"/>
          <w:b/>
          <w:sz w:val="28"/>
        </w:rPr>
        <w:t>ассент</w:t>
      </w:r>
      <w:r>
        <w:rPr>
          <w:rFonts w:ascii="Times New Roman" w:hAnsi="Times New Roman"/>
          <w:b w:val="0"/>
          <w:sz w:val="28"/>
        </w:rPr>
        <w:t xml:space="preserve"> ребёнка (с учётом возраста и применимого права); добровольность; право отказаться; отдельный порядок для опросов, интервью и анализа уже имеющихся данных.</w:t>
      </w:r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– </w:t>
      </w:r>
      <w:r>
        <w:rPr>
          <w:rFonts w:ascii="Times New Roman" w:hAnsi="Times New Roman"/>
          <w:b/>
          <w:sz w:val="28"/>
        </w:rPr>
        <w:t>Обезличивание:</w:t>
      </w:r>
      <w:r>
        <w:rPr>
          <w:rFonts w:ascii="Times New Roman" w:hAnsi="Times New Roman"/>
          <w:b w:val="0"/>
          <w:sz w:val="28"/>
        </w:rPr>
        <w:t xml:space="preserve"> работа с агрегированными данными; персональные данные не хранятся без правового основания; порядок псевдонимизации.</w:t>
      </w:r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– </w:t>
      </w:r>
      <w:r>
        <w:rPr>
          <w:rFonts w:ascii="Times New Roman" w:hAnsi="Times New Roman"/>
          <w:b/>
          <w:sz w:val="28"/>
        </w:rPr>
        <w:t>Запрет передачи в школу</w:t>
      </w:r>
      <w:r>
        <w:rPr>
          <w:rFonts w:ascii="Times New Roman" w:hAnsi="Times New Roman"/>
          <w:b w:val="0"/>
          <w:sz w:val="28"/>
        </w:rPr>
        <w:t xml:space="preserve"> индивидуальных ответов ребёнка в идентифицируемом виде — кроме заранее описанного маршрута при непосредственном риске жизни, тяжкого насилия, самоповреждения или суицида.</w:t>
      </w:r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– </w:t>
      </w:r>
      <w:r>
        <w:rPr>
          <w:rFonts w:ascii="Times New Roman" w:hAnsi="Times New Roman"/>
          <w:b/>
          <w:sz w:val="28"/>
        </w:rPr>
        <w:t>Доступ и хранение:</w:t>
      </w:r>
      <w:r>
        <w:rPr>
          <w:rFonts w:ascii="Times New Roman" w:hAnsi="Times New Roman"/>
          <w:b w:val="0"/>
          <w:sz w:val="28"/>
        </w:rPr>
        <w:t xml:space="preserve"> роли доступа, сроки хранения и удаления, журнал доступа, правила обработки аудиозаписей и открытых ответов.</w:t>
      </w:r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– </w:t>
      </w:r>
      <w:r>
        <w:rPr>
          <w:rFonts w:ascii="Times New Roman" w:hAnsi="Times New Roman"/>
          <w:b/>
          <w:sz w:val="28"/>
        </w:rPr>
        <w:t>Отказ от исследования ≠ отказ от помощи:</w:t>
      </w:r>
      <w:r>
        <w:rPr>
          <w:rFonts w:ascii="Times New Roman" w:hAnsi="Times New Roman"/>
          <w:b w:val="0"/>
          <w:sz w:val="28"/>
        </w:rPr>
        <w:t xml:space="preserve"> отсутствие согласия на участие не означает отказа школы от обязательной помощи ребёнку.</w:t>
      </w:r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– </w:t>
      </w:r>
      <w:r>
        <w:rPr>
          <w:rFonts w:ascii="Times New Roman" w:hAnsi="Times New Roman"/>
          <w:b/>
          <w:sz w:val="28"/>
        </w:rPr>
        <w:t>Недопущение вреда:</w:t>
      </w:r>
      <w:r>
        <w:rPr>
          <w:rFonts w:ascii="Times New Roman" w:hAnsi="Times New Roman"/>
          <w:b w:val="0"/>
          <w:sz w:val="28"/>
        </w:rPr>
        <w:t xml:space="preserve"> никакой материал не должен вести к повторной травматизации или закреплению ярлыков «жертва»/«агрессор».</w:t>
      </w:r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– </w:t>
      </w:r>
      <w:r>
        <w:rPr>
          <w:rFonts w:ascii="Times New Roman" w:hAnsi="Times New Roman"/>
          <w:b/>
          <w:sz w:val="28"/>
        </w:rPr>
        <w:t>Безопасное участие:</w:t>
      </w:r>
      <w:r>
        <w:rPr>
          <w:rFonts w:ascii="Times New Roman" w:hAnsi="Times New Roman"/>
          <w:b w:val="0"/>
          <w:sz w:val="28"/>
        </w:rPr>
        <w:t xml:space="preserve"> вопросы и формулировки опросов проверяются с участием детей и родителей.</w:t>
      </w:r>
    </w:p>
    <w:p>
      <w:pPr>
        <w:spacing w:after="80"/>
        <w:ind w:firstLine="0"/>
      </w:pPr>
      <w:r>
        <w:rPr>
          <w:rFonts w:ascii="Times New Roman" w:hAnsi="Times New Roman"/>
          <w:b/>
          <w:sz w:val="28"/>
        </w:rPr>
        <w:t>Источники</w:t>
      </w:r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1. Olweus D. Bullying at School: What We Know and What We Can Do. Oxford: Blackwell, 1993. — </w:t>
      </w:r>
      <w:hyperlink r:id="rId10">
        <w:r>
          <w:rPr>
            <w:rFonts w:ascii="Times New Roman" w:hAnsi="Times New Roman"/>
            <w:color w:val="0563C1"/>
            <w:u w:val="single"/>
            <w:sz w:val="24"/>
          </w:rPr>
          <w:t xml:space="preserve">https://www.wiley.com/en-us/Bullying+at+School%3A+What+We+Know+and+What+We+Can+Do-p-9780631192411</w:t>
        </w:r>
      </w:hyperlink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2. Olweus D. Sweden // The Nature of School Bullying: A Cross-National Perspective / Eds. P. K. Smith, Y. Morita, J. Junger-Tas, D. Olweus, R. Catalano, P. Slee. London: Routledge, 1999. — </w:t>
      </w:r>
      <w:r>
        <w:rPr>
          <w:rFonts w:ascii="Times New Roman" w:hAnsi="Times New Roman"/>
          <w:b/>
          <w:sz w:val="28"/>
        </w:rPr>
        <w:t>выходные данные уточнить (NOT VERIFIED)</w:t>
      </w:r>
      <w:r>
        <w:rPr>
          <w:rFonts w:ascii="Times New Roman" w:hAnsi="Times New Roman"/>
          <w:b w:val="0"/>
          <w:sz w:val="28"/>
        </w:rPr>
        <w:t>.</w:t>
      </w:r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3. Kowalski R. M., Limber S. P., Agatston P. W. Cyberbullying: Bullying in the Digital Age. 2nd ed. Wiley-Blackwell, 2012. — </w:t>
      </w:r>
      <w:hyperlink r:id="rId11">
        <w:r>
          <w:rPr>
            <w:rFonts w:ascii="Times New Roman" w:hAnsi="Times New Roman"/>
            <w:color w:val="0563C1"/>
            <w:u w:val="single"/>
            <w:sz w:val="24"/>
          </w:rPr>
          <w:t xml:space="preserve">https://www.wiley.com/en-us/Cyberbullying%3A+Bullying+in+the+Digital+Age%2C+2nd+Edition-p-9781118310274</w:t>
        </w:r>
      </w:hyperlink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4. Gladden R. M. et al. Bullying Surveillance Among Youths: Uniform Definitions for Public Health and Recommended Data Elements. CDC, 2014. — </w:t>
      </w:r>
      <w:hyperlink r:id="rId14">
        <w:r>
          <w:rPr>
            <w:rFonts w:ascii="Times New Roman" w:hAnsi="Times New Roman"/>
            <w:color w:val="0563C1"/>
            <w:u w:val="single"/>
            <w:sz w:val="24"/>
          </w:rPr>
          <w:t xml:space="preserve">https://www.cdc.gov/violenceprevention/pdf/bullying-definitions-final-a.pdf</w:t>
        </w:r>
      </w:hyperlink>
      <w:r>
        <w:rPr>
          <w:rFonts w:ascii="Times New Roman" w:hAnsi="Times New Roman"/>
          <w:b w:val="0"/>
          <w:sz w:val="28"/>
        </w:rPr>
        <w:t xml:space="preserve"> *(сайт может закрываться от ботов — открывать в браузере)*</w:t>
      </w:r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5. UNESCO. Behind the Numbers: Ending School Violence and Bullying. Paris, 2019. — </w:t>
      </w:r>
      <w:hyperlink r:id="rId15">
        <w:r>
          <w:rPr>
            <w:rFonts w:ascii="Times New Roman" w:hAnsi="Times New Roman"/>
            <w:color w:val="0563C1"/>
            <w:u w:val="single"/>
            <w:sz w:val="24"/>
          </w:rPr>
          <w:t xml:space="preserve">https://unesdoc.unesco.org/ark:/48223/pf0000366483</w:t>
        </w:r>
      </w:hyperlink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6. WHO. Global School-based Student Health Survey (GSHS) — </w:t>
      </w:r>
      <w:hyperlink r:id="rId12">
        <w:r>
          <w:rPr>
            <w:rFonts w:ascii="Times New Roman" w:hAnsi="Times New Roman"/>
            <w:color w:val="0563C1"/>
            <w:u w:val="single"/>
            <w:sz w:val="24"/>
          </w:rPr>
          <w:t xml:space="preserve">https://www.who.int/teams/noncommunicable-diseases/surveillance/systems-tools/global-school-based-student-health-survey</w:t>
        </w:r>
      </w:hyperlink>
    </w:p>
    <w:p>
      <w:pPr>
        <w:spacing w:after="40"/>
        <w:ind w:firstLine="0"/>
      </w:pPr>
      <w:r>
        <w:rPr>
          <w:rFonts w:ascii="Times New Roman" w:hAnsi="Times New Roman"/>
          <w:b w:val="0"/>
          <w:sz w:val="28"/>
        </w:rPr>
        <w:t xml:space="preserve">7. HBSC — Health Behaviour in School-aged Children — </w:t>
      </w:r>
      <w:hyperlink r:id="rId13">
        <w:r>
          <w:rPr>
            <w:rFonts w:ascii="Times New Roman" w:hAnsi="Times New Roman"/>
            <w:color w:val="0563C1"/>
            <w:u w:val="single"/>
            <w:sz w:val="24"/>
          </w:rPr>
          <w:t xml:space="preserve">https://hbsc.org/</w:t>
        </w:r>
      </w:hyperlink>
    </w:p>
    <w:p>
      <w:r>
        <w:rPr>
          <w:rFonts w:ascii="Times New Roman" w:hAnsi="Times New Roman"/>
          <w:b w:val="0"/>
          <w:sz w:val="28"/>
        </w:rPr>
        <w:t>*Перечень пополняется на этапе 1 (см. справку «Этап 1. Диагностика России», раздел «Источники»). Полные библиографические данные и DOI — по мере проверки.*</w:t>
      </w:r>
    </w:p>
    <w:p>
      <w:pPr>
        <w:spacing w:after="200"/>
      </w:pPr>
    </w:p>
    <w:p>
      <w:pPr>
        <w:spacing w:after="40"/>
        <w:ind w:firstLine="0"/>
      </w:pPr>
      <w:r>
        <w:rPr>
          <w:rFonts w:ascii="Times New Roman" w:hAnsi="Times New Roman"/>
          <w:b w:val="0"/>
          <w:sz w:val="24"/>
        </w:rPr>
        <w:t>Исполнитель: руководитель исследования ______________ / ______________</w:t>
      </w:r>
    </w:p>
    <w:p>
      <w:pPr>
        <w:spacing w:after="40"/>
        <w:ind w:firstLine="0"/>
      </w:pPr>
      <w:r>
        <w:rPr>
          <w:rFonts w:ascii="Times New Roman" w:hAnsi="Times New Roman"/>
          <w:b w:val="0"/>
          <w:sz w:val="24"/>
        </w:rPr>
        <w:t>Согласовано с внешними моделями: Claude (claude-code) и GPT (openai-codex)</w:t>
      </w:r>
    </w:p>
    <w:sectPr w:rsidR="00FC693F" w:rsidRPr="0006063C" w:rsidSect="00034616">
      <w:headerReference w:type="default" r:id="rId9"/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ind w:firstLine="0"/>
      <w:jc w:val="center"/>
    </w:pPr>
    <w:r>
      <w:rPr>
        <w:rFonts w:ascii="Times New Roman" w:hAnsi="Times New Roman"/>
        <w:sz w:val="24"/>
      </w:rPr>
      <w:fldChar w:fldCharType="begin"/>
      <w:instrText xml:space="preserve">PAGE</w:instrText>
      <w:fldChar w:fldCharType="end"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  <w:ind w:firstLine="709"/>
    </w:pPr>
    <w:rPr>
      <w:rFonts w:ascii="Times New Roman" w:hAnsi="Times New Roman" w:eastAsia="Times New Roman"/>
      <w:sz w:val="2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hyperlink" Target="https://www.wiley.com/en-us/Bullying+at+School%3A+What+We+Know+and+What+We+Can+Do-p-9780631192411" TargetMode="External"/><Relationship Id="rId11" Type="http://schemas.openxmlformats.org/officeDocument/2006/relationships/hyperlink" Target="https://www.wiley.com/en-us/Cyberbullying%3A+Bullying+in+the+Digital+Age%2C+2nd+Edition-p-9781118310274" TargetMode="External"/><Relationship Id="rId12" Type="http://schemas.openxmlformats.org/officeDocument/2006/relationships/hyperlink" Target="https://www.who.int/teams/noncommunicable-diseases/surveillance/systems-tools/global-school-based-student-health-survey" TargetMode="External"/><Relationship Id="rId13" Type="http://schemas.openxmlformats.org/officeDocument/2006/relationships/hyperlink" Target="https://hbsc.org/" TargetMode="External"/><Relationship Id="rId14" Type="http://schemas.openxmlformats.org/officeDocument/2006/relationships/hyperlink" Target="https://www.cdc.gov/violenceprevention/pdf/bullying-definitions-final-a.pdf" TargetMode="External"/><Relationship Id="rId15" Type="http://schemas.openxmlformats.org/officeDocument/2006/relationships/hyperlink" Target="https://unesdoc.unesco.org/ark:/48223/pf00003664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